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197CD3" w14:textId="77777777" w:rsidR="00F46FB3" w:rsidRPr="0000207E" w:rsidRDefault="0000207E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  <w:lang w:val="fr-FR"/>
        </w:rPr>
      </w:pPr>
      <w:r w:rsidRPr="0000207E">
        <w:rPr>
          <w:rFonts w:ascii="Arial" w:hAnsi="Arial" w:cs="Arial"/>
          <w:b/>
          <w:sz w:val="20"/>
          <w:szCs w:val="20"/>
          <w:lang w:val="fr-FR"/>
        </w:rPr>
        <w:t>MARS 2025 | INTEC LEIPZIG</w:t>
      </w:r>
      <w:r w:rsidR="00CC4269" w:rsidRPr="0000207E">
        <w:rPr>
          <w:rFonts w:ascii="Arial" w:hAnsi="Arial" w:cs="Arial"/>
          <w:b/>
          <w:sz w:val="20"/>
          <w:szCs w:val="20"/>
          <w:lang w:val="fr-FR"/>
        </w:rPr>
        <w:t xml:space="preserve"> </w:t>
      </w:r>
    </w:p>
    <w:p w14:paraId="49D64EB1" w14:textId="77777777" w:rsidR="00CC4269" w:rsidRPr="0000207E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fr-FR"/>
        </w:rPr>
      </w:pPr>
    </w:p>
    <w:p w14:paraId="3D95C44E" w14:textId="77777777" w:rsidR="00CC4269" w:rsidRPr="0000207E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fr-FR"/>
        </w:rPr>
      </w:pPr>
    </w:p>
    <w:p w14:paraId="3598A7C6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fr-FR"/>
        </w:rPr>
      </w:pPr>
    </w:p>
    <w:p w14:paraId="3C691CB0" w14:textId="77777777" w:rsidR="0000207E" w:rsidRPr="0000207E" w:rsidRDefault="0000207E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fr-FR"/>
        </w:rPr>
      </w:pPr>
    </w:p>
    <w:p w14:paraId="277E69E6" w14:textId="2EEE5A1E" w:rsidR="000119F4" w:rsidRPr="006A5C9A" w:rsidRDefault="0000207E" w:rsidP="000119F4">
      <w:pPr>
        <w:rPr>
          <w:rFonts w:ascii="Arial" w:hAnsi="Arial"/>
          <w:b/>
          <w:bCs/>
          <w:lang w:val="fr-FR"/>
        </w:rPr>
      </w:pPr>
      <w:bookmarkStart w:id="0" w:name="_GoBack"/>
      <w:r w:rsidRPr="006A5C9A">
        <w:rPr>
          <w:rFonts w:ascii="Arial" w:hAnsi="Arial"/>
          <w:b/>
          <w:sz w:val="24"/>
          <w:szCs w:val="24"/>
          <w:lang w:val="fr-FR"/>
        </w:rPr>
        <w:t xml:space="preserve">Nouveau programme de fraisage PCD - </w:t>
      </w:r>
      <w:r w:rsidR="00271598" w:rsidRPr="006A5C9A">
        <w:rPr>
          <w:rFonts w:ascii="Arial" w:hAnsi="Arial"/>
          <w:b/>
          <w:bCs/>
          <w:sz w:val="24"/>
          <w:szCs w:val="24"/>
          <w:lang w:val="fr-FR"/>
        </w:rPr>
        <w:t>Fraises à surfacer</w:t>
      </w:r>
      <w:r w:rsidR="00271598" w:rsidRPr="006A5C9A">
        <w:rPr>
          <w:rFonts w:ascii="Arial" w:hAnsi="Arial"/>
          <w:b/>
          <w:lang w:val="fr-FR"/>
        </w:rPr>
        <w:t xml:space="preserve"> </w:t>
      </w:r>
    </w:p>
    <w:bookmarkEnd w:id="0"/>
    <w:p w14:paraId="37B16DDA" w14:textId="15421CCC" w:rsidR="000119F4" w:rsidRPr="006A5C9A" w:rsidRDefault="0000207E" w:rsidP="006A5C9A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lang w:val="fr-FR"/>
        </w:rPr>
      </w:pPr>
      <w:r w:rsidRPr="006A5C9A">
        <w:rPr>
          <w:rFonts w:ascii="Arial" w:hAnsi="Arial" w:cs="Arial"/>
          <w:lang w:val="fr-FR"/>
        </w:rPr>
        <w:t xml:space="preserve">Dans le cadre du nouveau </w:t>
      </w:r>
      <w:r w:rsidR="00271598" w:rsidRPr="006A5C9A">
        <w:rPr>
          <w:rFonts w:ascii="Arial" w:hAnsi="Arial" w:cs="Arial"/>
          <w:lang w:val="fr-FR"/>
        </w:rPr>
        <w:t xml:space="preserve">programme </w:t>
      </w:r>
      <w:r w:rsidRPr="006A5C9A">
        <w:rPr>
          <w:rFonts w:ascii="Arial" w:hAnsi="Arial" w:cs="Arial"/>
          <w:lang w:val="fr-FR"/>
        </w:rPr>
        <w:t xml:space="preserve">de fraisage PCD, Paul Horn GmbH a développé les séries DM70 et DM90, spécialement conçues pour les opérations de surfaçage et de fraisage </w:t>
      </w:r>
      <w:r w:rsidR="00271598" w:rsidRPr="006A5C9A">
        <w:rPr>
          <w:rFonts w:ascii="Arial" w:hAnsi="Arial" w:cs="Arial"/>
          <w:lang w:val="fr-FR"/>
        </w:rPr>
        <w:t>d’épaulement</w:t>
      </w:r>
      <w:r w:rsidRPr="006A5C9A">
        <w:rPr>
          <w:rFonts w:ascii="Arial" w:hAnsi="Arial" w:cs="Arial"/>
          <w:lang w:val="fr-FR"/>
        </w:rPr>
        <w:t xml:space="preserve">. L'accent est mis ici sur des qualités de fraisage et </w:t>
      </w:r>
      <w:r w:rsidR="00271598" w:rsidRPr="006A5C9A">
        <w:rPr>
          <w:rFonts w:ascii="Arial" w:hAnsi="Arial" w:cs="Arial"/>
          <w:lang w:val="fr-FR"/>
        </w:rPr>
        <w:t xml:space="preserve">des états de surface élevés </w:t>
      </w:r>
      <w:r w:rsidRPr="006A5C9A">
        <w:rPr>
          <w:rFonts w:ascii="Arial" w:hAnsi="Arial" w:cs="Arial"/>
          <w:lang w:val="fr-FR"/>
        </w:rPr>
        <w:t xml:space="preserve"> ainsi que sur </w:t>
      </w:r>
      <w:r w:rsidR="00271598" w:rsidRPr="006A5C9A">
        <w:rPr>
          <w:rFonts w:ascii="Arial" w:hAnsi="Arial" w:cs="Arial"/>
          <w:lang w:val="fr-FR"/>
        </w:rPr>
        <w:t xml:space="preserve">le </w:t>
      </w:r>
      <w:r w:rsidRPr="006A5C9A">
        <w:rPr>
          <w:rFonts w:ascii="Arial" w:hAnsi="Arial" w:cs="Arial"/>
          <w:lang w:val="fr-FR"/>
        </w:rPr>
        <w:t>fraisage sans bavures.</w:t>
      </w:r>
    </w:p>
    <w:p w14:paraId="2CD0211C" w14:textId="77777777" w:rsidR="000119F4" w:rsidRPr="006A5C9A" w:rsidRDefault="000119F4" w:rsidP="006A5C9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val="fr-FR"/>
        </w:rPr>
      </w:pPr>
    </w:p>
    <w:p w14:paraId="4792EBA4" w14:textId="77777777" w:rsidR="0000207E" w:rsidRPr="006A5C9A" w:rsidRDefault="0000207E" w:rsidP="006A5C9A">
      <w:pPr>
        <w:spacing w:after="0"/>
        <w:ind w:right="-431"/>
        <w:jc w:val="both"/>
        <w:rPr>
          <w:rFonts w:ascii="Arial" w:hAnsi="Arial" w:cs="Arial"/>
          <w:lang w:val="fr-FR"/>
        </w:rPr>
      </w:pPr>
      <w:r w:rsidRPr="006A5C9A">
        <w:rPr>
          <w:rFonts w:ascii="Arial" w:hAnsi="Arial" w:cs="Arial"/>
          <w:lang w:val="fr-FR"/>
        </w:rPr>
        <w:t>DM70</w:t>
      </w:r>
    </w:p>
    <w:p w14:paraId="6A66BC75" w14:textId="06990143" w:rsidR="0000207E" w:rsidRPr="006A5C9A" w:rsidRDefault="0000207E" w:rsidP="006A5C9A">
      <w:pPr>
        <w:spacing w:after="0"/>
        <w:ind w:right="-431"/>
        <w:jc w:val="both"/>
        <w:rPr>
          <w:rFonts w:ascii="Arial" w:hAnsi="Arial" w:cs="Arial"/>
          <w:rtl/>
          <w:lang w:val="fr-FR"/>
        </w:rPr>
      </w:pPr>
      <w:r w:rsidRPr="006A5C9A">
        <w:rPr>
          <w:rFonts w:ascii="Arial" w:hAnsi="Arial" w:cs="Arial"/>
          <w:lang w:val="fr-FR"/>
        </w:rPr>
        <w:t xml:space="preserve">HORN a développé la série DM70 spécialement pour les opérations de surfaçage. Le système permet d’obtenir des qualités de fraisage et de surface élevées dans des plages de diamètres réduites. </w:t>
      </w:r>
      <w:r w:rsidR="00C306FD" w:rsidRPr="006A5C9A">
        <w:rPr>
          <w:rFonts w:ascii="Arial" w:hAnsi="Arial" w:cs="Arial"/>
          <w:lang w:val="fr-FR"/>
        </w:rPr>
        <w:t xml:space="preserve">L'interface de contact précise entre la face et le cône </w:t>
      </w:r>
      <w:r w:rsidRPr="006A5C9A">
        <w:rPr>
          <w:rFonts w:ascii="Arial" w:hAnsi="Arial" w:cs="Arial"/>
          <w:lang w:val="fr-FR"/>
        </w:rPr>
        <w:t xml:space="preserve">MDR garantit des surfaçages de l’ordre du µ. Le remplacement simple et rapide de la fraise à montage PCD par un porte-outil en </w:t>
      </w:r>
      <w:r w:rsidR="00C306FD" w:rsidRPr="006A5C9A">
        <w:rPr>
          <w:rFonts w:ascii="Arial" w:hAnsi="Arial" w:cs="Arial"/>
          <w:lang w:val="fr-FR"/>
        </w:rPr>
        <w:t>carbure</w:t>
      </w:r>
      <w:r w:rsidRPr="006A5C9A">
        <w:rPr>
          <w:rFonts w:ascii="Arial" w:hAnsi="Arial" w:cs="Arial"/>
          <w:lang w:val="fr-FR"/>
        </w:rPr>
        <w:t xml:space="preserve"> est adapté aux processus de production allégés et aux installations de production automatisées. Le porte-outil en </w:t>
      </w:r>
      <w:r w:rsidR="00C306FD" w:rsidRPr="006A5C9A">
        <w:rPr>
          <w:rFonts w:ascii="Arial" w:hAnsi="Arial" w:cs="Arial"/>
          <w:lang w:val="fr-FR"/>
        </w:rPr>
        <w:t>carbure</w:t>
      </w:r>
      <w:r w:rsidRPr="006A5C9A">
        <w:rPr>
          <w:rFonts w:ascii="Arial" w:hAnsi="Arial" w:cs="Arial"/>
          <w:lang w:val="fr-FR"/>
        </w:rPr>
        <w:t xml:space="preserve"> offre en outre une grande stabilité et garantit une longue durée de vie, même en tenant compte des réaffûtages</w:t>
      </w:r>
      <w:r w:rsidRPr="006A5C9A">
        <w:rPr>
          <w:rFonts w:ascii="Arial" w:hAnsi="Arial" w:cs="Arial"/>
          <w:rtl/>
          <w:lang w:val="fr-FR"/>
        </w:rPr>
        <w:t xml:space="preserve"> </w:t>
      </w:r>
      <w:r w:rsidRPr="006A5C9A">
        <w:rPr>
          <w:rFonts w:ascii="Arial" w:hAnsi="Arial" w:cs="Arial"/>
          <w:lang w:val="fr-FR"/>
        </w:rPr>
        <w:t>répétés des arêtes de coupe. Grâce</w:t>
      </w:r>
      <w:r w:rsidRPr="006A5C9A">
        <w:rPr>
          <w:rFonts w:ascii="Arial" w:hAnsi="Arial" w:cs="Arial"/>
          <w:rtl/>
          <w:lang w:val="fr-FR"/>
        </w:rPr>
        <w:t xml:space="preserve"> </w:t>
      </w:r>
      <w:r w:rsidR="00C306FD" w:rsidRPr="006A5C9A">
        <w:rPr>
          <w:rFonts w:ascii="Arial" w:hAnsi="Arial" w:cs="Arial"/>
          <w:lang w:val="fr-FR"/>
        </w:rPr>
        <w:t>la disponibilité de modèles de petit et grand diamètres, ainsi que de porte-outils HSK63-A courts et longs</w:t>
      </w:r>
      <w:r w:rsidRPr="006A5C9A">
        <w:rPr>
          <w:rFonts w:ascii="Arial" w:hAnsi="Arial" w:cs="Arial"/>
          <w:lang w:val="fr-FR"/>
        </w:rPr>
        <w:t xml:space="preserve">, la </w:t>
      </w:r>
      <w:r w:rsidR="00C306FD" w:rsidRPr="006A5C9A">
        <w:rPr>
          <w:rFonts w:ascii="Arial" w:hAnsi="Arial" w:cs="Arial"/>
          <w:lang w:val="fr-FR"/>
        </w:rPr>
        <w:t xml:space="preserve">gamme </w:t>
      </w:r>
      <w:r w:rsidRPr="006A5C9A">
        <w:rPr>
          <w:rFonts w:ascii="Arial" w:hAnsi="Arial" w:cs="Arial"/>
          <w:lang w:val="fr-FR"/>
        </w:rPr>
        <w:t xml:space="preserve">est conçue </w:t>
      </w:r>
      <w:r w:rsidR="00C306FD" w:rsidRPr="006A5C9A">
        <w:rPr>
          <w:rFonts w:ascii="Arial" w:hAnsi="Arial" w:cs="Arial"/>
          <w:lang w:val="fr-FR"/>
        </w:rPr>
        <w:t>d’une</w:t>
      </w:r>
      <w:r w:rsidRPr="006A5C9A">
        <w:rPr>
          <w:rFonts w:ascii="Arial" w:hAnsi="Arial" w:cs="Arial"/>
          <w:lang w:val="fr-FR"/>
        </w:rPr>
        <w:t xml:space="preserve"> part pour des processus de fraisage stables et </w:t>
      </w:r>
      <w:r w:rsidR="00C306FD" w:rsidRPr="006A5C9A">
        <w:rPr>
          <w:rFonts w:ascii="Arial" w:hAnsi="Arial" w:cs="Arial"/>
          <w:lang w:val="fr-FR"/>
        </w:rPr>
        <w:t>d’autre</w:t>
      </w:r>
      <w:r w:rsidRPr="006A5C9A">
        <w:rPr>
          <w:rFonts w:ascii="Arial" w:hAnsi="Arial" w:cs="Arial"/>
          <w:lang w:val="fr-FR"/>
        </w:rPr>
        <w:t xml:space="preserve"> part pour des opérations de surfaçage dans des</w:t>
      </w:r>
      <w:r w:rsidRPr="006A5C9A">
        <w:rPr>
          <w:rFonts w:ascii="Arial" w:hAnsi="Arial" w:cs="Arial"/>
          <w:rtl/>
          <w:lang w:val="fr-FR"/>
        </w:rPr>
        <w:t xml:space="preserve"> </w:t>
      </w:r>
      <w:r w:rsidRPr="006A5C9A">
        <w:rPr>
          <w:rFonts w:ascii="Arial" w:hAnsi="Arial" w:cs="Arial"/>
          <w:lang w:val="fr-FR"/>
        </w:rPr>
        <w:t xml:space="preserve">éléments de structure </w:t>
      </w:r>
      <w:r w:rsidR="00C306FD" w:rsidRPr="006A5C9A">
        <w:rPr>
          <w:rFonts w:ascii="Arial" w:hAnsi="Arial" w:cs="Arial"/>
          <w:lang w:val="fr-FR"/>
        </w:rPr>
        <w:t xml:space="preserve">complexes </w:t>
      </w:r>
      <w:r w:rsidRPr="006A5C9A">
        <w:rPr>
          <w:rFonts w:ascii="Arial" w:hAnsi="Arial" w:cs="Arial"/>
          <w:lang w:val="fr-FR"/>
        </w:rPr>
        <w:t xml:space="preserve">. </w:t>
      </w:r>
      <w:r w:rsidR="00C306FD" w:rsidRPr="006A5C9A">
        <w:rPr>
          <w:rFonts w:ascii="Arial" w:hAnsi="Arial" w:cs="Arial"/>
          <w:lang w:val="fr-FR"/>
        </w:rPr>
        <w:t xml:space="preserve">Une </w:t>
      </w:r>
      <w:r w:rsidRPr="006A5C9A">
        <w:rPr>
          <w:rFonts w:ascii="Arial" w:hAnsi="Arial" w:cs="Arial"/>
          <w:lang w:val="fr-FR"/>
        </w:rPr>
        <w:t xml:space="preserve">répartition du liquide </w:t>
      </w:r>
      <w:r w:rsidR="00C306FD" w:rsidRPr="006A5C9A">
        <w:rPr>
          <w:rFonts w:ascii="Arial" w:hAnsi="Arial" w:cs="Arial"/>
          <w:lang w:val="fr-FR"/>
        </w:rPr>
        <w:t>de coupe</w:t>
      </w:r>
      <w:r w:rsidRPr="006A5C9A">
        <w:rPr>
          <w:rFonts w:ascii="Arial" w:hAnsi="Arial" w:cs="Arial"/>
          <w:lang w:val="fr-FR"/>
        </w:rPr>
        <w:t xml:space="preserve"> bien pensée et vissée sur la face avant, le système offre des propriétés de refroidissement fiables pour les processus</w:t>
      </w:r>
      <w:r w:rsidRPr="006A5C9A">
        <w:rPr>
          <w:rFonts w:ascii="Arial" w:hAnsi="Arial" w:cs="Arial"/>
          <w:rtl/>
          <w:lang w:val="fr-FR"/>
        </w:rPr>
        <w:t xml:space="preserve">. </w:t>
      </w:r>
    </w:p>
    <w:p w14:paraId="0258B218" w14:textId="77777777" w:rsidR="0000207E" w:rsidRPr="006A5C9A" w:rsidRDefault="0000207E" w:rsidP="006A5C9A">
      <w:pPr>
        <w:spacing w:after="0"/>
        <w:ind w:right="-431"/>
        <w:jc w:val="both"/>
        <w:rPr>
          <w:rFonts w:ascii="Arial" w:hAnsi="Arial" w:cs="Arial"/>
          <w:rtl/>
          <w:lang w:val="fr-FR"/>
        </w:rPr>
      </w:pPr>
    </w:p>
    <w:p w14:paraId="1FB4F12D" w14:textId="77777777" w:rsidR="0000207E" w:rsidRPr="006A5C9A" w:rsidRDefault="0000207E" w:rsidP="006A5C9A">
      <w:pPr>
        <w:spacing w:after="0"/>
        <w:ind w:right="-431"/>
        <w:jc w:val="both"/>
        <w:rPr>
          <w:rFonts w:ascii="Arial" w:hAnsi="Arial" w:cs="Arial"/>
          <w:lang w:val="fr-FR"/>
        </w:rPr>
      </w:pPr>
      <w:r w:rsidRPr="006A5C9A">
        <w:rPr>
          <w:rFonts w:ascii="Arial" w:hAnsi="Arial" w:cs="Arial"/>
          <w:lang w:val="fr-FR"/>
        </w:rPr>
        <w:t>DM90</w:t>
      </w:r>
    </w:p>
    <w:p w14:paraId="7B951680" w14:textId="044BBBF0" w:rsidR="0000207E" w:rsidRPr="006A5C9A" w:rsidRDefault="0000207E" w:rsidP="006A5C9A">
      <w:pPr>
        <w:spacing w:after="0"/>
        <w:ind w:right="-431"/>
        <w:jc w:val="both"/>
        <w:rPr>
          <w:rFonts w:ascii="Arial" w:hAnsi="Arial" w:cs="Arial"/>
          <w:lang w:val="fr-FR"/>
        </w:rPr>
      </w:pPr>
      <w:r w:rsidRPr="006A5C9A">
        <w:rPr>
          <w:rFonts w:ascii="Arial" w:hAnsi="Arial" w:cs="Arial"/>
          <w:lang w:val="fr-FR"/>
        </w:rPr>
        <w:t xml:space="preserve">Du surfaçage ou du fraisage d`épaulements de pièces moulées sous pression en aluminium au surfaçage de surfaces de contact de différents métaux non ferreux en passant par l`usinage de composants de moteurs ou de boîtiers, les opérations de fraisage sans bavures sont essentielles. Les plaquettes PCD sont donc la référence en la matière. La </w:t>
      </w:r>
      <w:r w:rsidR="00C306FD" w:rsidRPr="006A5C9A">
        <w:rPr>
          <w:rFonts w:ascii="Arial" w:hAnsi="Arial" w:cs="Arial"/>
          <w:lang w:val="fr-FR"/>
        </w:rPr>
        <w:t xml:space="preserve">gamme </w:t>
      </w:r>
      <w:r w:rsidRPr="006A5C9A">
        <w:rPr>
          <w:rFonts w:ascii="Arial" w:hAnsi="Arial" w:cs="Arial"/>
          <w:lang w:val="fr-FR"/>
        </w:rPr>
        <w:t xml:space="preserve">DM90 est spécialement conçue pour répondre à ces exigences avec des performances élevées. Elle propose une variante à arête haute et une variante à arête basse </w:t>
      </w:r>
      <w:r w:rsidR="006D292F" w:rsidRPr="006A5C9A">
        <w:rPr>
          <w:rFonts w:ascii="Arial" w:hAnsi="Arial" w:cs="Arial"/>
          <w:lang w:val="fr-FR"/>
        </w:rPr>
        <w:t xml:space="preserve">dans des diamètres allant de 50 mm </w:t>
      </w:r>
      <w:r w:rsidRPr="006A5C9A">
        <w:rPr>
          <w:rFonts w:ascii="Arial" w:hAnsi="Arial" w:cs="Arial"/>
          <w:lang w:val="fr-FR"/>
        </w:rPr>
        <w:t xml:space="preserve">à 125 mm de diamètre. HORN propose l’outil adapté à ces applications, sans préréglage fastidieux des arêtes de coupe. </w:t>
      </w:r>
      <w:r w:rsidR="006D292F" w:rsidRPr="006A5C9A">
        <w:rPr>
          <w:rFonts w:ascii="Arial" w:hAnsi="Arial" w:cs="Arial"/>
          <w:lang w:val="fr-FR"/>
        </w:rPr>
        <w:t>La gamme se distingue par un fonctionnement extrêmement doux et une précision de battement axial de l'ordre du micron</w:t>
      </w:r>
      <w:r w:rsidRPr="006A5C9A">
        <w:rPr>
          <w:rFonts w:ascii="Arial" w:hAnsi="Arial" w:cs="Arial"/>
          <w:lang w:val="fr-FR"/>
        </w:rPr>
        <w:t xml:space="preserve">. Que ce soit pour des </w:t>
      </w:r>
      <w:r w:rsidR="006D292F" w:rsidRPr="006A5C9A">
        <w:rPr>
          <w:rFonts w:ascii="Arial" w:hAnsi="Arial" w:cs="Arial"/>
          <w:lang w:val="fr-FR"/>
        </w:rPr>
        <w:t>ébauches</w:t>
      </w:r>
      <w:r w:rsidRPr="006A5C9A">
        <w:rPr>
          <w:rFonts w:ascii="Arial" w:hAnsi="Arial" w:cs="Arial"/>
          <w:lang w:val="fr-FR"/>
        </w:rPr>
        <w:t xml:space="preserve"> jusqu’à </w:t>
      </w:r>
      <w:proofErr w:type="spellStart"/>
      <w:r w:rsidRPr="006A5C9A">
        <w:rPr>
          <w:rFonts w:ascii="Arial" w:hAnsi="Arial" w:cs="Arial"/>
          <w:lang w:val="fr-FR"/>
        </w:rPr>
        <w:t>ap</w:t>
      </w:r>
      <w:proofErr w:type="spellEnd"/>
      <w:r w:rsidRPr="006A5C9A">
        <w:rPr>
          <w:rFonts w:ascii="Arial" w:hAnsi="Arial" w:cs="Arial"/>
          <w:lang w:val="fr-FR"/>
        </w:rPr>
        <w:t xml:space="preserve"> = 4 mm ou pour des finition</w:t>
      </w:r>
      <w:r w:rsidR="006D292F" w:rsidRPr="006A5C9A">
        <w:rPr>
          <w:rFonts w:ascii="Arial" w:hAnsi="Arial" w:cs="Arial"/>
          <w:lang w:val="fr-FR"/>
        </w:rPr>
        <w:t>s</w:t>
      </w:r>
      <w:r w:rsidRPr="006A5C9A">
        <w:rPr>
          <w:rFonts w:ascii="Arial" w:hAnsi="Arial" w:cs="Arial"/>
          <w:lang w:val="fr-FR"/>
        </w:rPr>
        <w:t xml:space="preserve">, le système permet d’obtenir des états de surface inférieurs à </w:t>
      </w:r>
      <w:proofErr w:type="spellStart"/>
      <w:r w:rsidRPr="006A5C9A">
        <w:rPr>
          <w:rFonts w:ascii="Arial" w:hAnsi="Arial" w:cs="Arial"/>
          <w:lang w:val="fr-FR"/>
        </w:rPr>
        <w:t>Rz</w:t>
      </w:r>
      <w:proofErr w:type="spellEnd"/>
      <w:r w:rsidRPr="006A5C9A">
        <w:rPr>
          <w:rFonts w:ascii="Arial" w:hAnsi="Arial" w:cs="Arial"/>
          <w:lang w:val="fr-FR"/>
        </w:rPr>
        <w:t xml:space="preserve"> 4 µm. </w:t>
      </w:r>
    </w:p>
    <w:p w14:paraId="218D2476" w14:textId="77777777" w:rsidR="0000207E" w:rsidRPr="006A5C9A" w:rsidRDefault="0000207E" w:rsidP="006A5C9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val="fr-FR"/>
        </w:rPr>
      </w:pPr>
    </w:p>
    <w:p w14:paraId="63BAEA19" w14:textId="4F267AE9" w:rsidR="0000207E" w:rsidRDefault="006D292F" w:rsidP="006A5C9A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lang w:val="fr-FR"/>
        </w:rPr>
      </w:pPr>
      <w:r w:rsidRPr="006A5C9A">
        <w:rPr>
          <w:rFonts w:ascii="Arial" w:hAnsi="Arial" w:cs="Arial"/>
          <w:lang w:val="fr-FR"/>
        </w:rPr>
        <w:t>La rentabilité et la productivité combinées à la technologie Horn, une grande flexibilité et une grande fiabilité offrent au fournisseur un large choix d'outils HORN dans le domaine des matériaux de coupe très durs. Les fraises à surfacer de la gamme DM70 et DM90 complètent le programme pour un usinage fiable de l'aluminium en combinaison avec cinq versions de fraises à insert PCD et un système de fraisage à tête interchangeable.</w:t>
      </w:r>
    </w:p>
    <w:p w14:paraId="0B361C83" w14:textId="77777777" w:rsidR="006A5C9A" w:rsidRPr="006A5C9A" w:rsidRDefault="006A5C9A" w:rsidP="006A5C9A">
      <w:pPr>
        <w:autoSpaceDE w:val="0"/>
        <w:autoSpaceDN w:val="0"/>
        <w:adjustRightInd w:val="0"/>
        <w:spacing w:after="0"/>
        <w:rPr>
          <w:rStyle w:val="hps"/>
          <w:rFonts w:ascii="Arial" w:hAnsi="Arial" w:cs="Arial"/>
          <w:i/>
          <w:lang w:val="fr-FR"/>
        </w:rPr>
      </w:pPr>
    </w:p>
    <w:p w14:paraId="14B3AEB5" w14:textId="6670ACB6" w:rsidR="000119F4" w:rsidRPr="000119F4" w:rsidRDefault="0000207E" w:rsidP="000119F4">
      <w:pPr>
        <w:autoSpaceDE w:val="0"/>
        <w:autoSpaceDN w:val="0"/>
        <w:adjustRightInd w:val="0"/>
        <w:spacing w:after="0" w:line="360" w:lineRule="auto"/>
        <w:rPr>
          <w:rStyle w:val="hps"/>
          <w:rFonts w:ascii="Arial" w:hAnsi="Arial" w:cs="Arial"/>
          <w:i/>
          <w:color w:val="222222"/>
          <w:lang w:val="fr-FR"/>
        </w:rPr>
      </w:pPr>
      <w:r>
        <w:rPr>
          <w:rStyle w:val="hps"/>
          <w:rFonts w:ascii="Arial" w:hAnsi="Arial" w:cs="Arial"/>
          <w:i/>
          <w:color w:val="222222"/>
          <w:lang w:val="fr-FR"/>
        </w:rPr>
        <w:t>2,7</w:t>
      </w:r>
      <w:r w:rsidR="006A5C9A">
        <w:rPr>
          <w:rStyle w:val="hps"/>
          <w:rFonts w:ascii="Arial" w:hAnsi="Arial" w:cs="Arial"/>
          <w:i/>
          <w:color w:val="222222"/>
          <w:lang w:val="fr-FR"/>
        </w:rPr>
        <w:t>47</w:t>
      </w:r>
      <w:r>
        <w:rPr>
          <w:rStyle w:val="hps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caractères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espaces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incl</w:t>
      </w:r>
      <w:r w:rsidR="000119F4">
        <w:rPr>
          <w:rStyle w:val="hps"/>
          <w:rFonts w:ascii="Arial" w:hAnsi="Arial" w:cs="Arial"/>
          <w:i/>
          <w:color w:val="222222"/>
          <w:lang w:val="fr-FR"/>
        </w:rPr>
        <w:t>.</w:t>
      </w:r>
    </w:p>
    <w:p w14:paraId="4C41FF44" w14:textId="77777777" w:rsidR="000119F4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fr-FR"/>
        </w:rPr>
      </w:pPr>
      <w:r w:rsidRPr="0037109B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067385E0" wp14:editId="18E38C0A">
            <wp:extent cx="1722120" cy="2583180"/>
            <wp:effectExtent l="0" t="0" r="0" b="7620"/>
            <wp:docPr id="1" name="Grafik 1" descr="C:\Users\cstelzer\Nextcloud\Presseinformationen\BILDER Neuheiten 2024\klein\PKD_Detail_DM70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Presseinformationen\BILDER Neuheiten 2024\klein\PKD_Detail_DM70_klei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A9F4F" w14:textId="10846583" w:rsidR="0000207E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fr-FR"/>
        </w:rPr>
      </w:pPr>
      <w:r w:rsidRPr="0000207E">
        <w:rPr>
          <w:rFonts w:ascii="Arial" w:hAnsi="Arial" w:cs="Arial"/>
          <w:lang w:val="fr-FR"/>
        </w:rPr>
        <w:t>Photo</w:t>
      </w:r>
      <w:r>
        <w:rPr>
          <w:rFonts w:ascii="Arial" w:hAnsi="Arial" w:cs="Arial"/>
          <w:lang w:val="fr-FR"/>
        </w:rPr>
        <w:t xml:space="preserve"> </w:t>
      </w:r>
      <w:r w:rsidRPr="0000207E">
        <w:rPr>
          <w:rFonts w:ascii="Arial" w:hAnsi="Arial" w:cs="Arial"/>
          <w:lang w:val="fr-FR"/>
        </w:rPr>
        <w:t xml:space="preserve">: Le système de </w:t>
      </w:r>
      <w:r w:rsidR="006D292F">
        <w:rPr>
          <w:rFonts w:ascii="Arial" w:hAnsi="Arial" w:cs="Arial"/>
          <w:lang w:val="fr-FR"/>
        </w:rPr>
        <w:t xml:space="preserve">surfaçage </w:t>
      </w:r>
      <w:r w:rsidR="008C30F5">
        <w:rPr>
          <w:rFonts w:ascii="Arial" w:hAnsi="Arial" w:cs="Arial"/>
          <w:lang w:val="fr-FR"/>
        </w:rPr>
        <w:t>avec l</w:t>
      </w:r>
      <w:r w:rsidR="006D292F" w:rsidRPr="00C306FD">
        <w:rPr>
          <w:rFonts w:ascii="Arial" w:hAnsi="Arial" w:cs="Arial"/>
          <w:lang w:val="fr-FR"/>
        </w:rPr>
        <w:t xml:space="preserve">'interface de contact précise entre la face et le cône </w:t>
      </w:r>
      <w:r w:rsidRPr="0000207E">
        <w:rPr>
          <w:rFonts w:ascii="Arial" w:hAnsi="Arial" w:cs="Arial"/>
          <w:lang w:val="fr-FR"/>
        </w:rPr>
        <w:t>MDR</w:t>
      </w:r>
      <w:r w:rsidR="008C30F5">
        <w:rPr>
          <w:rFonts w:ascii="Arial" w:hAnsi="Arial" w:cs="Arial"/>
          <w:lang w:val="fr-FR"/>
        </w:rPr>
        <w:t>, la gamme</w:t>
      </w:r>
      <w:r w:rsidRPr="0000207E">
        <w:rPr>
          <w:rFonts w:ascii="Arial" w:hAnsi="Arial" w:cs="Arial"/>
          <w:lang w:val="fr-FR"/>
        </w:rPr>
        <w:t>DM70 garantit des planages au µ près.</w:t>
      </w:r>
    </w:p>
    <w:p w14:paraId="35EE57BE" w14:textId="77777777" w:rsidR="0000207E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fr-FR"/>
        </w:rPr>
      </w:pPr>
    </w:p>
    <w:p w14:paraId="13A8D6CA" w14:textId="77777777" w:rsidR="0000207E" w:rsidRPr="0000207E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Source : HORN/Sauermann</w:t>
      </w:r>
    </w:p>
    <w:p w14:paraId="4F44B0CA" w14:textId="77777777" w:rsidR="0000207E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fr-FR"/>
        </w:rPr>
      </w:pPr>
    </w:p>
    <w:p w14:paraId="193F1212" w14:textId="77777777" w:rsidR="0000207E" w:rsidRPr="0000207E" w:rsidRDefault="0000207E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fr-FR"/>
        </w:rPr>
      </w:pPr>
      <w:r w:rsidRPr="0037109B"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 wp14:anchorId="6C800ECE" wp14:editId="07C4F75D">
            <wp:extent cx="3520440" cy="2346960"/>
            <wp:effectExtent l="0" t="0" r="3810" b="0"/>
            <wp:docPr id="2" name="Grafik 2" descr="C:\Users\cstelzer\Nextcloud\Presseinformationen\BILDER Neuheiten 2024\klein\PKD_Detail_DM90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Presseinformationen\BILDER Neuheiten 2024\klein\PKD_Detail_DM90_klei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4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50A77" w14:textId="42370BFC" w:rsidR="000119F4" w:rsidRPr="0000207E" w:rsidRDefault="000119F4" w:rsidP="000119F4">
      <w:pPr>
        <w:rPr>
          <w:rFonts w:ascii="Arial" w:hAnsi="Arial" w:cs="Arial"/>
          <w:lang w:val="fr-FR"/>
        </w:rPr>
      </w:pPr>
      <w:r w:rsidRPr="0000207E">
        <w:rPr>
          <w:rFonts w:ascii="Arial" w:hAnsi="Arial" w:cs="Arial"/>
          <w:lang w:val="fr-FR"/>
        </w:rPr>
        <w:t xml:space="preserve">Photo: </w:t>
      </w:r>
      <w:r w:rsidR="00402BA4" w:rsidRPr="00402BA4">
        <w:rPr>
          <w:rFonts w:ascii="Arial" w:hAnsi="Arial" w:cs="Arial"/>
          <w:lang w:val="fr-FR"/>
        </w:rPr>
        <w:t>Les plaquettes en PCD de la gamme DM90 se distinguent par leur extrême stabilité de fonctionnement et leur précision de battement axial de l'ordre du micron.</w:t>
      </w:r>
    </w:p>
    <w:p w14:paraId="0D8F4D7A" w14:textId="77777777" w:rsidR="000119F4" w:rsidRPr="0000207E" w:rsidRDefault="0000207E" w:rsidP="000119F4">
      <w:pPr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Source : HORN/Sauermann</w:t>
      </w:r>
    </w:p>
    <w:p w14:paraId="4D9BF76B" w14:textId="77777777" w:rsidR="000119F4" w:rsidRDefault="000119F4" w:rsidP="000119F4">
      <w:pPr>
        <w:rPr>
          <w:rFonts w:ascii="Arial" w:hAnsi="Arial" w:cs="Arial"/>
          <w:lang w:val="fr-FR"/>
        </w:rPr>
      </w:pPr>
    </w:p>
    <w:p w14:paraId="736FA341" w14:textId="77777777" w:rsidR="0000207E" w:rsidRPr="0000207E" w:rsidRDefault="0000207E" w:rsidP="000119F4">
      <w:pPr>
        <w:rPr>
          <w:rFonts w:ascii="Arial" w:hAnsi="Arial" w:cs="Arial"/>
          <w:lang w:val="fr-FR"/>
        </w:rPr>
      </w:pPr>
    </w:p>
    <w:p w14:paraId="1CD6D739" w14:textId="77777777" w:rsidR="00257F05" w:rsidRPr="0000207E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fr-FR"/>
        </w:rPr>
      </w:pPr>
      <w:r w:rsidRPr="0000207E">
        <w:rPr>
          <w:rFonts w:ascii="Arial" w:hAnsi="Arial" w:cs="Arial"/>
          <w:lang w:val="fr-FR"/>
        </w:rPr>
        <w:lastRenderedPageBreak/>
        <w:t xml:space="preserve">Responsable des demandes de précisions: </w:t>
      </w:r>
    </w:p>
    <w:p w14:paraId="790B5AAE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Hartmetall-Werkzeugfabrik Paul Horn GmbH</w:t>
      </w:r>
    </w:p>
    <w:p w14:paraId="43A2AF29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14:paraId="53268BBD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Chargé</w:t>
      </w:r>
      <w:proofErr w:type="spellEnd"/>
      <w:r>
        <w:rPr>
          <w:rFonts w:ascii="Arial" w:hAnsi="Arial" w:cs="Arial"/>
        </w:rPr>
        <w:t xml:space="preserve"> de presse</w:t>
      </w:r>
    </w:p>
    <w:p w14:paraId="08CBB552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14:paraId="09F7AE3C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7DE3E40C" w14:textId="77777777"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2AB09FAA" w14:textId="77777777" w:rsidR="009E62C1" w:rsidRPr="0000207E" w:rsidRDefault="009E62C1" w:rsidP="009E62C1">
      <w:pPr>
        <w:spacing w:line="360" w:lineRule="auto"/>
        <w:rPr>
          <w:rFonts w:ascii="Arial" w:hAnsi="Arial" w:cs="Arial"/>
          <w:lang w:val="en-GB"/>
        </w:rPr>
      </w:pPr>
    </w:p>
    <w:p w14:paraId="54EA079C" w14:textId="77777777"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3132D71F" w14:textId="77777777" w:rsidR="00257F05" w:rsidRPr="0000207E" w:rsidRDefault="00257F05" w:rsidP="000119F4">
      <w:pPr>
        <w:rPr>
          <w:rFonts w:ascii="Arial" w:hAnsi="Arial" w:cs="Arial"/>
          <w:lang w:val="en-GB"/>
        </w:rPr>
      </w:pPr>
    </w:p>
    <w:sectPr w:rsidR="00257F05" w:rsidRPr="0000207E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418E0A" w14:textId="77777777" w:rsidR="00C06B48" w:rsidRDefault="00C06B48" w:rsidP="00925DB2">
      <w:pPr>
        <w:spacing w:after="0" w:line="240" w:lineRule="auto"/>
      </w:pPr>
      <w:r>
        <w:separator/>
      </w:r>
    </w:p>
  </w:endnote>
  <w:endnote w:type="continuationSeparator" w:id="0">
    <w:p w14:paraId="4A2AF10C" w14:textId="77777777" w:rsidR="00C06B48" w:rsidRDefault="00C06B4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5BADEC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3F2BEA23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6A5C9A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6A5C9A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485AFF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41D7A34E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6A5C9A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6A5C9A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B03979" w14:textId="77777777" w:rsidR="00C06B48" w:rsidRDefault="00C06B48" w:rsidP="00925DB2">
      <w:pPr>
        <w:spacing w:after="0" w:line="240" w:lineRule="auto"/>
      </w:pPr>
      <w:r>
        <w:separator/>
      </w:r>
    </w:p>
  </w:footnote>
  <w:footnote w:type="continuationSeparator" w:id="0">
    <w:p w14:paraId="6595ABF2" w14:textId="77777777" w:rsidR="00C06B48" w:rsidRDefault="00C06B4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E3AA2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803869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A4F225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8E4B15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873C1ED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BE375D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02CA3A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B8F22E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D3A943E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B55DB53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55DF03A2" wp14:editId="679B30CC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CE562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7038AE73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989676A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7512E3E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067C71B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47ABDEDF" wp14:editId="2791E5E8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207E"/>
    <w:rsid w:val="000034D9"/>
    <w:rsid w:val="000119F4"/>
    <w:rsid w:val="00014CB7"/>
    <w:rsid w:val="0002151F"/>
    <w:rsid w:val="000327A8"/>
    <w:rsid w:val="00033E12"/>
    <w:rsid w:val="000370FD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33FBE"/>
    <w:rsid w:val="00241AE4"/>
    <w:rsid w:val="00255304"/>
    <w:rsid w:val="00257F05"/>
    <w:rsid w:val="00271598"/>
    <w:rsid w:val="002A0FBC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D70ED"/>
    <w:rsid w:val="003E3E66"/>
    <w:rsid w:val="003F5834"/>
    <w:rsid w:val="00402BA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C5298"/>
    <w:rsid w:val="005E299E"/>
    <w:rsid w:val="005E62B9"/>
    <w:rsid w:val="00613420"/>
    <w:rsid w:val="00617E9D"/>
    <w:rsid w:val="00636ABA"/>
    <w:rsid w:val="00650455"/>
    <w:rsid w:val="00677430"/>
    <w:rsid w:val="00693D38"/>
    <w:rsid w:val="006A247B"/>
    <w:rsid w:val="006A5291"/>
    <w:rsid w:val="006A5C9A"/>
    <w:rsid w:val="006D292F"/>
    <w:rsid w:val="006F3A10"/>
    <w:rsid w:val="006F67E6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C30F5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06B48"/>
    <w:rsid w:val="00C306FD"/>
    <w:rsid w:val="00C512DF"/>
    <w:rsid w:val="00C51449"/>
    <w:rsid w:val="00C527F9"/>
    <w:rsid w:val="00C543FD"/>
    <w:rsid w:val="00C60406"/>
    <w:rsid w:val="00C60E5C"/>
    <w:rsid w:val="00C641DC"/>
    <w:rsid w:val="00C67D46"/>
    <w:rsid w:val="00C74A47"/>
    <w:rsid w:val="00C848B8"/>
    <w:rsid w:val="00CB138C"/>
    <w:rsid w:val="00CC4269"/>
    <w:rsid w:val="00D62E01"/>
    <w:rsid w:val="00DA4DF2"/>
    <w:rsid w:val="00DA4F95"/>
    <w:rsid w:val="00DC36B0"/>
    <w:rsid w:val="00DC601B"/>
    <w:rsid w:val="00DD4B1C"/>
    <w:rsid w:val="00DE22B7"/>
    <w:rsid w:val="00E0265F"/>
    <w:rsid w:val="00E22D8A"/>
    <w:rsid w:val="00E44CBF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82CF0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479741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  <w:style w:type="paragraph" w:styleId="berarbeitung">
    <w:name w:val="Revision"/>
    <w:hidden/>
    <w:uiPriority w:val="99"/>
    <w:semiHidden/>
    <w:rsid w:val="00271598"/>
    <w:rPr>
      <w:sz w:val="22"/>
      <w:szCs w:val="22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271598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445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8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83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492</Words>
  <Characters>3101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3586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2</cp:revision>
  <cp:lastPrinted>2015-02-20T10:59:00Z</cp:lastPrinted>
  <dcterms:created xsi:type="dcterms:W3CDTF">2024-10-22T07:25:00Z</dcterms:created>
  <dcterms:modified xsi:type="dcterms:W3CDTF">2024-10-22T07:25:00Z</dcterms:modified>
</cp:coreProperties>
</file>